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63" w:rsidRPr="008C31C8" w:rsidRDefault="00D11163" w:rsidP="00D11163">
      <w:pPr>
        <w:spacing w:before="100" w:beforeAutospacing="1" w:after="100" w:afterAutospacing="1" w:line="240" w:lineRule="auto"/>
        <w:jc w:val="center"/>
        <w:outlineLvl w:val="2"/>
        <w:rPr>
          <w:rFonts w:ascii="scala-sans" w:eastAsia="Times New Roman" w:hAnsi="scala-sans" w:cs="Times New Roman"/>
          <w:b/>
          <w:bCs/>
          <w:color w:val="000000"/>
          <w:sz w:val="44"/>
          <w:szCs w:val="44"/>
          <w:lang w:eastAsia="sv-SE"/>
        </w:rPr>
      </w:pPr>
      <w:r w:rsidRPr="008C31C8">
        <w:rPr>
          <w:rFonts w:ascii="scala-sans" w:eastAsia="Times New Roman" w:hAnsi="scala-sans" w:cs="Times New Roman"/>
          <w:b/>
          <w:bCs/>
          <w:color w:val="000000"/>
          <w:sz w:val="44"/>
          <w:szCs w:val="44"/>
          <w:lang w:eastAsia="sv-SE"/>
        </w:rPr>
        <w:t>Matsmarta råd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bookmarkStart w:id="0" w:name="_GoBack"/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Bra levnadsvanor för hela familjen. ”Så här gör vi i vår familj”.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Bra att familjen har gemensamma måltider. Vuxna är barnens förebilder.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Regelbundna måltider och undvik nattmål efter 12 månaders ålder.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Vatten som törstsläckare.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Välj nyckelhålsmärkt.</w:t>
      </w:r>
    </w:p>
    <w:p w:rsidR="00D11163" w:rsidRPr="008C31C8" w:rsidRDefault="00D11163" w:rsidP="00283AC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”Sällan-mat” (godis, läsk, snacks, kakor etc.) endast till fest och t.ex. lördagsgodis.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Välj flytande margarin eller olja när du lagar mat.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Ät fisk 3 ggr/vecka.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Frukt och grönt (hälften av varje): Öka mängden successivt. Ät fem knutna barnnävar varje dag från 4 års ålder.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Lär barnen gilla fullkorn.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Lär barnen dricka ur mugg eller glas. Undvik nappflaska efter 12 månaders ålder.</w:t>
      </w:r>
    </w:p>
    <w:p w:rsidR="00D11163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Viktigt att stimulera oralmotoriken genom att göra matkonsistensen successivt grövre.</w:t>
      </w:r>
    </w:p>
    <w:p w:rsidR="009238FB" w:rsidRPr="008C31C8" w:rsidRDefault="00D11163" w:rsidP="00D111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32"/>
          <w:szCs w:val="32"/>
        </w:rPr>
      </w:pPr>
      <w:r w:rsidRPr="008C31C8"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  <w:t>För en välfungerande kosthållning är det viktigt med god munhälsa.</w:t>
      </w:r>
    </w:p>
    <w:bookmarkEnd w:id="0"/>
    <w:p w:rsidR="008C31C8" w:rsidRDefault="008C31C8" w:rsidP="008C31C8">
      <w:pPr>
        <w:spacing w:before="100" w:beforeAutospacing="1" w:after="100" w:afterAutospacing="1" w:line="360" w:lineRule="auto"/>
        <w:ind w:left="720"/>
        <w:rPr>
          <w:rFonts w:ascii="scala-sans" w:eastAsia="Times New Roman" w:hAnsi="scala-sans" w:cs="Times New Roman"/>
          <w:color w:val="000000"/>
          <w:sz w:val="32"/>
          <w:szCs w:val="32"/>
          <w:lang w:eastAsia="sv-SE"/>
        </w:rPr>
      </w:pPr>
    </w:p>
    <w:p w:rsidR="008C31C8" w:rsidRPr="008C31C8" w:rsidRDefault="008C31C8" w:rsidP="008C31C8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8C31C8">
        <w:rPr>
          <w:rFonts w:ascii="scala-sans" w:eastAsia="Times New Roman" w:hAnsi="scala-sans" w:cs="Times New Roman"/>
          <w:color w:val="000000"/>
          <w:sz w:val="28"/>
          <w:szCs w:val="28"/>
          <w:lang w:eastAsia="sv-SE"/>
        </w:rPr>
        <w:t>Framtagen av Terapigrupp Prevention/Ohälsosamma levnadsvanor</w:t>
      </w:r>
    </w:p>
    <w:sectPr w:rsidR="008C31C8" w:rsidRPr="008C31C8" w:rsidSect="00283AC3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-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115DC"/>
    <w:multiLevelType w:val="multilevel"/>
    <w:tmpl w:val="9F0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95222"/>
    <w:multiLevelType w:val="multilevel"/>
    <w:tmpl w:val="5BBCA4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3"/>
    <w:rsid w:val="00283AC3"/>
    <w:rsid w:val="008C31C8"/>
    <w:rsid w:val="009238FB"/>
    <w:rsid w:val="00D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6B751-6249-43B3-BD29-1C40426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065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Möller Fornander Katarina HUSLÄKARNA VALLDA</cp:lastModifiedBy>
  <cp:revision>2</cp:revision>
  <dcterms:created xsi:type="dcterms:W3CDTF">2022-12-07T10:38:00Z</dcterms:created>
  <dcterms:modified xsi:type="dcterms:W3CDTF">2022-12-07T10:38:00Z</dcterms:modified>
</cp:coreProperties>
</file>